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2/15/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23.11.2023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Cyrl-RS"/>
        </w:rPr>
        <w:t>2</w:t>
      </w:r>
      <w:r>
        <w:rPr>
          <w:rFonts w:hint="default" w:ascii="Arial" w:hAnsi="Arial" w:eastAsia="Times New Roman" w:cs="Arial"/>
          <w:b/>
          <w:lang w:val="sr-Latn-RS"/>
        </w:rPr>
        <w:t>2/15/</w:t>
      </w:r>
      <w:r>
        <w:rPr>
          <w:rFonts w:hint="default" w:ascii="Arial" w:hAnsi="Arial" w:eastAsia="Times New Roman" w:cs="Arial"/>
          <w:b/>
          <w:lang w:val="sr-Cyrl-RS"/>
        </w:rPr>
        <w:t>20</w:t>
      </w:r>
      <w:r>
        <w:rPr>
          <w:rFonts w:hint="default" w:ascii="Arial" w:hAnsi="Arial" w:eastAsia="Times New Roman" w:cs="Arial"/>
          <w:b/>
          <w:lang w:val="sr-Latn-RS"/>
        </w:rPr>
        <w:t>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Бургија са вареном спиралом, фи 39, Л-1,5м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23.11.2023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>године, са почетком</w:t>
      </w:r>
      <w:r>
        <w:rPr>
          <w:rFonts w:ascii="Arial" w:hAnsi="Arial" w:eastAsia="Times New Roman" w:cs="Arial"/>
          <w:b w:val="0"/>
          <w:bCs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 xml:space="preserve">у </w:t>
      </w:r>
      <w:r>
        <w:rPr>
          <w:rFonts w:hint="default" w:ascii="Arial" w:hAnsi="Arial" w:eastAsia="Times New Roman" w:cs="Arial"/>
          <w:b w:val="0"/>
          <w:bCs/>
          <w:lang w:val="sr-Cyrl-RS"/>
        </w:rPr>
        <w:t xml:space="preserve">9 </w:t>
      </w:r>
      <w:r>
        <w:rPr>
          <w:rFonts w:ascii="Arial" w:hAnsi="Arial" w:eastAsia="Times New Roman" w:cs="Arial"/>
          <w:b w:val="0"/>
          <w:bCs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>добара/услуга:</w:t>
      </w:r>
      <w:r>
        <w:rPr>
          <w:rFonts w:hint="default" w:ascii="Arial" w:hAnsi="Arial" w:eastAsia="Arial" w:cs="Arial"/>
          <w:b w:val="0"/>
          <w:bCs/>
          <w:color w:val="000000"/>
          <w:szCs w:val="20"/>
          <w:lang w:val="sr-Cyrl-RS"/>
        </w:rPr>
        <w:t>Бургија са вареном спиралом, фи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 </w:t>
      </w:r>
      <w:r>
        <w:rPr>
          <w:rFonts w:hint="default" w:ascii="Arial" w:hAnsi="Arial" w:eastAsia="Arial" w:cs="Arial"/>
          <w:b w:val="0"/>
          <w:bCs/>
          <w:color w:val="000000"/>
          <w:szCs w:val="20"/>
          <w:lang w:val="sr-Cyrl-RS"/>
        </w:rPr>
        <w:t>39, Л-1,5м</w:t>
      </w:r>
      <w:r>
        <w:rPr>
          <w:rFonts w:ascii="Arial" w:hAnsi="Arial" w:eastAsia="Times New Roman" w:cs="Arial"/>
        </w:rPr>
        <w:t xml:space="preserve"> 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22.11.2023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Стил Експорт-Импорт - Мали Зворник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17.11.2023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Стил Експорт-Импорт Мали Зворник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81.425,00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97.710,00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одмах по уплати аванса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12 месеци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  <w:r>
        <w:rPr>
          <w:rFonts w:ascii="Arial" w:hAnsi="Arial" w:eastAsia="Times New Roman" w:cs="Arial"/>
          <w:lang w:val="sr-Cyrl-RS"/>
        </w:rPr>
        <w:t>аванс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Стил Експорт-Импорт - Мали Зворник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0</w:t>
            </w:r>
            <w:bookmarkStart w:id="2" w:name="_GoBack"/>
            <w:bookmarkEnd w:id="2"/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Стил Експорт-Импорт - Мали Зворник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477443D"/>
    <w:rsid w:val="080B1136"/>
    <w:rsid w:val="087B1098"/>
    <w:rsid w:val="0FF346F7"/>
    <w:rsid w:val="134B0F8A"/>
    <w:rsid w:val="18A91961"/>
    <w:rsid w:val="19B95929"/>
    <w:rsid w:val="1CC71F20"/>
    <w:rsid w:val="2B171D02"/>
    <w:rsid w:val="3AD635F8"/>
    <w:rsid w:val="42CA154B"/>
    <w:rsid w:val="46706989"/>
    <w:rsid w:val="469039D3"/>
    <w:rsid w:val="4BE16076"/>
    <w:rsid w:val="562474B8"/>
    <w:rsid w:val="65E3775D"/>
    <w:rsid w:val="662B3F19"/>
    <w:rsid w:val="674A4FC1"/>
    <w:rsid w:val="6936080D"/>
    <w:rsid w:val="6A32754C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105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2023-11-23T08:44:35Z</cp:lastPrinted>
  <dcterms:modified xsi:type="dcterms:W3CDTF">2023-11-23T10:23:43Z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